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FCBFC" w14:textId="587A5EF7" w:rsidR="00297E6B" w:rsidRPr="001502E2" w:rsidRDefault="00297E6B" w:rsidP="00297E6B">
      <w:pPr>
        <w:keepNext/>
        <w:pageBreakBefore/>
        <w:pBdr>
          <w:bottom w:val="single" w:sz="12" w:space="1" w:color="007A87"/>
        </w:pBdr>
        <w:tabs>
          <w:tab w:val="right" w:leader="dot" w:pos="720"/>
          <w:tab w:val="right" w:leader="dot" w:pos="9360"/>
        </w:tabs>
        <w:spacing w:after="120" w:line="240" w:lineRule="auto"/>
        <w:outlineLvl w:val="0"/>
        <w:rPr>
          <w:rFonts w:ascii="Palatino Linotype" w:eastAsia="Calibri" w:hAnsi="Palatino Linotype" w:cs="Arial"/>
          <w:noProof/>
          <w:color w:val="007A87"/>
          <w:sz w:val="36"/>
          <w:szCs w:val="36"/>
        </w:rPr>
      </w:pPr>
      <w:bookmarkStart w:id="0" w:name="_Toc319312650"/>
      <w:bookmarkStart w:id="1" w:name="_Toc367112173"/>
      <w:r w:rsidRPr="001502E2">
        <w:rPr>
          <w:rFonts w:ascii="Palatino Linotype" w:eastAsia="Calibri" w:hAnsi="Palatino Linotype" w:cs="Arial"/>
          <w:noProof/>
          <w:color w:val="007A87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3CC291B0" wp14:editId="55F7B928">
            <wp:simplePos x="0" y="0"/>
            <wp:positionH relativeFrom="column">
              <wp:posOffset>4270375</wp:posOffset>
            </wp:positionH>
            <wp:positionV relativeFrom="paragraph">
              <wp:posOffset>-645795</wp:posOffset>
            </wp:positionV>
            <wp:extent cx="1958340" cy="1189355"/>
            <wp:effectExtent l="0" t="0" r="0" b="0"/>
            <wp:wrapNone/>
            <wp:docPr id="3" name="Picture 3" descr="EducationNW_logo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ucationNW_logo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189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02E2">
        <w:rPr>
          <w:rFonts w:ascii="Palatino Linotype" w:eastAsia="Calibri" w:hAnsi="Palatino Linotype" w:cs="Arial"/>
          <w:noProof/>
          <w:color w:val="007A87"/>
          <w:sz w:val="36"/>
          <w:szCs w:val="36"/>
        </w:rPr>
        <w:t>Oregon Transfer Project</w:t>
      </w:r>
      <w:r w:rsidRPr="001502E2">
        <w:rPr>
          <w:rFonts w:ascii="Palatino Linotype" w:eastAsia="Calibri" w:hAnsi="Palatino Linotype" w:cs="Arial"/>
          <w:noProof/>
          <w:color w:val="007A87"/>
          <w:sz w:val="36"/>
          <w:szCs w:val="36"/>
        </w:rPr>
        <w:br/>
      </w:r>
      <w:bookmarkEnd w:id="0"/>
      <w:bookmarkEnd w:id="1"/>
      <w:r w:rsidR="002910C5">
        <w:rPr>
          <w:rFonts w:ascii="Palatino Linotype" w:eastAsia="Calibri" w:hAnsi="Palatino Linotype" w:cs="Arial"/>
          <w:noProof/>
          <w:color w:val="007A87"/>
          <w:sz w:val="36"/>
          <w:szCs w:val="36"/>
        </w:rPr>
        <w:t>Southwestern Oregon</w:t>
      </w:r>
      <w:r w:rsidRPr="001502E2">
        <w:rPr>
          <w:rFonts w:ascii="Palatino Linotype" w:eastAsia="Calibri" w:hAnsi="Palatino Linotype" w:cs="Arial"/>
          <w:noProof/>
          <w:color w:val="007A87"/>
          <w:sz w:val="36"/>
          <w:szCs w:val="36"/>
        </w:rPr>
        <w:t xml:space="preserve"> Community College</w:t>
      </w:r>
      <w:r w:rsidR="00DB723A">
        <w:rPr>
          <w:rFonts w:ascii="Palatino Linotype" w:eastAsia="Calibri" w:hAnsi="Palatino Linotype" w:cs="Arial"/>
          <w:noProof/>
          <w:color w:val="007A87"/>
          <w:sz w:val="36"/>
          <w:szCs w:val="36"/>
        </w:rPr>
        <w:t xml:space="preserve"> (SWOCC)</w:t>
      </w:r>
      <w:r w:rsidRPr="001502E2">
        <w:rPr>
          <w:rFonts w:ascii="Palatino Linotype" w:eastAsia="Calibri" w:hAnsi="Palatino Linotype" w:cs="Arial"/>
          <w:noProof/>
          <w:color w:val="007A87"/>
          <w:sz w:val="36"/>
          <w:szCs w:val="36"/>
        </w:rPr>
        <w:t xml:space="preserve"> Data</w:t>
      </w:r>
    </w:p>
    <w:p w14:paraId="61B5BFB4" w14:textId="148858B3" w:rsidR="00A15A62" w:rsidRDefault="00A15A62" w:rsidP="00297E6B">
      <w:pPr>
        <w:spacing w:after="0" w:line="240" w:lineRule="auto"/>
        <w:rPr>
          <w:rFonts w:ascii="Palatino Linotype" w:hAnsi="Palatino Linotype"/>
        </w:rPr>
      </w:pPr>
    </w:p>
    <w:p w14:paraId="2FEE0AF9" w14:textId="4BBB82CE" w:rsidR="00DB723A" w:rsidRDefault="00DB723A" w:rsidP="00DB723A">
      <w:pPr>
        <w:pStyle w:val="Heading2"/>
      </w:pPr>
      <w:bookmarkStart w:id="2" w:name="_Hlk5712775"/>
      <w:r>
        <w:t>Why was SWOCC selected as a case study institution?</w:t>
      </w:r>
    </w:p>
    <w:p w14:paraId="5A27BAD6" w14:textId="5BFE1546" w:rsidR="00DB723A" w:rsidRDefault="00DB723A" w:rsidP="00DB723A">
      <w:pPr>
        <w:spacing w:after="0" w:line="240" w:lineRule="auto"/>
        <w:rPr>
          <w:rFonts w:ascii="Palatino Linotype" w:hAnsi="Palatino Linotype"/>
          <w:i/>
        </w:rPr>
      </w:pPr>
    </w:p>
    <w:p w14:paraId="05E07087" w14:textId="0415C6A9" w:rsidR="00DB723A" w:rsidRDefault="00E22FCC" w:rsidP="00DB723A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T</w:t>
      </w:r>
      <w:r w:rsidR="00DB723A" w:rsidRPr="00E22FCC">
        <w:rPr>
          <w:rFonts w:ascii="Palatino Linotype" w:hAnsi="Palatino Linotype"/>
        </w:rPr>
        <w:t xml:space="preserve">he bachelor’s </w:t>
      </w:r>
      <w:r w:rsidR="00CD773C">
        <w:rPr>
          <w:rFonts w:ascii="Palatino Linotype" w:hAnsi="Palatino Linotype"/>
        </w:rPr>
        <w:t xml:space="preserve">degree </w:t>
      </w:r>
      <w:r w:rsidR="00DB723A" w:rsidRPr="00E22FCC">
        <w:rPr>
          <w:rFonts w:ascii="Palatino Linotype" w:hAnsi="Palatino Linotype"/>
        </w:rPr>
        <w:t>completion rate</w:t>
      </w:r>
      <w:r w:rsidR="00CD773C">
        <w:rPr>
          <w:rFonts w:ascii="Palatino Linotype" w:hAnsi="Palatino Linotype"/>
        </w:rPr>
        <w:t>s</w:t>
      </w:r>
      <w:r w:rsidR="00DB723A" w:rsidRPr="00E22FCC">
        <w:rPr>
          <w:rFonts w:ascii="Palatino Linotype" w:hAnsi="Palatino Linotype"/>
        </w:rPr>
        <w:t xml:space="preserve"> for American Indian/Alaska Native</w:t>
      </w:r>
      <w:r w:rsidR="00CD773C">
        <w:rPr>
          <w:rFonts w:ascii="Palatino Linotype" w:hAnsi="Palatino Linotype"/>
        </w:rPr>
        <w:t xml:space="preserve"> and </w:t>
      </w:r>
      <w:r w:rsidR="00CD773C" w:rsidRPr="00E22FCC">
        <w:rPr>
          <w:rFonts w:ascii="Palatino Linotype" w:hAnsi="Palatino Linotype"/>
        </w:rPr>
        <w:t xml:space="preserve">Latinx/Hispanic </w:t>
      </w:r>
      <w:r w:rsidR="00D47E26">
        <w:rPr>
          <w:rFonts w:ascii="Palatino Linotype" w:hAnsi="Palatino Linotype"/>
        </w:rPr>
        <w:t xml:space="preserve">students </w:t>
      </w:r>
      <w:r w:rsidR="00CD773C">
        <w:rPr>
          <w:rFonts w:ascii="Palatino Linotype" w:hAnsi="Palatino Linotype"/>
        </w:rPr>
        <w:t>who transferred from</w:t>
      </w:r>
      <w:r w:rsidR="00DB723A" w:rsidRPr="00E22FCC">
        <w:rPr>
          <w:rFonts w:ascii="Palatino Linotype" w:hAnsi="Palatino Linotype"/>
        </w:rPr>
        <w:t xml:space="preserve"> </w:t>
      </w:r>
      <w:r w:rsidR="00D47E26">
        <w:rPr>
          <w:rFonts w:ascii="Palatino Linotype" w:hAnsi="Palatino Linotype"/>
        </w:rPr>
        <w:t xml:space="preserve">SWOCC </w:t>
      </w:r>
      <w:r w:rsidR="00CD773C">
        <w:rPr>
          <w:rFonts w:ascii="Palatino Linotype" w:hAnsi="Palatino Linotype"/>
        </w:rPr>
        <w:t>to an Oregon public university are</w:t>
      </w:r>
      <w:r w:rsidR="00DB723A" w:rsidRPr="00E22FCC">
        <w:rPr>
          <w:rFonts w:ascii="Palatino Linotype" w:hAnsi="Palatino Linotype"/>
        </w:rPr>
        <w:t xml:space="preserve"> </w:t>
      </w:r>
      <w:r w:rsidR="00DB723A" w:rsidRPr="00CD773C">
        <w:rPr>
          <w:rFonts w:ascii="Palatino Linotype" w:hAnsi="Palatino Linotype"/>
        </w:rPr>
        <w:t>higher than expected</w:t>
      </w:r>
      <w:r w:rsidR="00DB723A" w:rsidRPr="00E22FCC">
        <w:rPr>
          <w:rFonts w:ascii="Palatino Linotype" w:hAnsi="Palatino Linotype"/>
        </w:rPr>
        <w:t xml:space="preserve"> based on statistical analyses</w:t>
      </w:r>
      <w:r w:rsidR="00CD773C">
        <w:rPr>
          <w:rFonts w:ascii="Palatino Linotype" w:hAnsi="Palatino Linotype"/>
        </w:rPr>
        <w:t xml:space="preserve"> (see figure 1 note)</w:t>
      </w:r>
      <w:r w:rsidR="00DB723A" w:rsidRPr="00E22FCC">
        <w:rPr>
          <w:rFonts w:ascii="Palatino Linotype" w:hAnsi="Palatino Linotype"/>
        </w:rPr>
        <w:t>. For recent</w:t>
      </w:r>
      <w:r w:rsidR="00CD773C">
        <w:rPr>
          <w:rFonts w:ascii="Palatino Linotype" w:hAnsi="Palatino Linotype"/>
        </w:rPr>
        <w:t xml:space="preserve"> public</w:t>
      </w:r>
      <w:r w:rsidR="00DB723A" w:rsidRPr="00E22FCC">
        <w:rPr>
          <w:rFonts w:ascii="Palatino Linotype" w:hAnsi="Palatino Linotype"/>
        </w:rPr>
        <w:t xml:space="preserve"> high school graduates, the bachelor’s </w:t>
      </w:r>
      <w:r w:rsidR="008833AD">
        <w:rPr>
          <w:rFonts w:ascii="Palatino Linotype" w:hAnsi="Palatino Linotype"/>
        </w:rPr>
        <w:t xml:space="preserve">degree </w:t>
      </w:r>
      <w:r w:rsidR="00DB723A" w:rsidRPr="00E22FCC">
        <w:rPr>
          <w:rFonts w:ascii="Palatino Linotype" w:hAnsi="Palatino Linotype"/>
        </w:rPr>
        <w:t>completion rate for American Indian/Alaska Native</w:t>
      </w:r>
      <w:r w:rsidR="00CD773C" w:rsidRPr="00CD773C">
        <w:rPr>
          <w:rFonts w:ascii="Palatino Linotype" w:hAnsi="Palatino Linotype"/>
        </w:rPr>
        <w:t xml:space="preserve"> </w:t>
      </w:r>
      <w:r w:rsidR="00CD773C">
        <w:rPr>
          <w:rFonts w:ascii="Palatino Linotype" w:hAnsi="Palatino Linotype"/>
        </w:rPr>
        <w:t>students who transferred from</w:t>
      </w:r>
      <w:r w:rsidR="00CD773C" w:rsidRPr="00E22FCC">
        <w:rPr>
          <w:rFonts w:ascii="Palatino Linotype" w:hAnsi="Palatino Linotype"/>
        </w:rPr>
        <w:t xml:space="preserve"> </w:t>
      </w:r>
      <w:r w:rsidR="00CD773C">
        <w:rPr>
          <w:rFonts w:ascii="Palatino Linotype" w:hAnsi="Palatino Linotype"/>
        </w:rPr>
        <w:t>SWOCC is</w:t>
      </w:r>
      <w:r w:rsidR="00DB723A" w:rsidRPr="00E22FCC">
        <w:rPr>
          <w:rFonts w:ascii="Palatino Linotype" w:hAnsi="Palatino Linotype"/>
        </w:rPr>
        <w:t xml:space="preserve"> </w:t>
      </w:r>
      <w:r w:rsidR="00CD773C">
        <w:rPr>
          <w:rFonts w:ascii="Palatino Linotype" w:hAnsi="Palatino Linotype"/>
          <w:b/>
        </w:rPr>
        <w:t>6</w:t>
      </w:r>
      <w:r w:rsidR="00DB723A" w:rsidRPr="00E22FCC">
        <w:rPr>
          <w:rFonts w:ascii="Palatino Linotype" w:hAnsi="Palatino Linotype"/>
          <w:b/>
        </w:rPr>
        <w:t xml:space="preserve"> percentage points higher than expected</w:t>
      </w:r>
      <w:r w:rsidR="00CD773C">
        <w:rPr>
          <w:rFonts w:ascii="Palatino Linotype" w:hAnsi="Palatino Linotype"/>
        </w:rPr>
        <w:t xml:space="preserve"> and </w:t>
      </w:r>
      <w:r w:rsidR="00CD773C" w:rsidRPr="00E22FCC">
        <w:rPr>
          <w:rFonts w:ascii="Palatino Linotype" w:hAnsi="Palatino Linotype"/>
        </w:rPr>
        <w:t xml:space="preserve">the bachelor’s </w:t>
      </w:r>
      <w:r w:rsidR="008833AD">
        <w:rPr>
          <w:rFonts w:ascii="Palatino Linotype" w:hAnsi="Palatino Linotype"/>
        </w:rPr>
        <w:t xml:space="preserve">degree </w:t>
      </w:r>
      <w:r w:rsidR="00CD773C" w:rsidRPr="00E22FCC">
        <w:rPr>
          <w:rFonts w:ascii="Palatino Linotype" w:hAnsi="Palatino Linotype"/>
        </w:rPr>
        <w:t>completion rate for Latinx/Hispanic</w:t>
      </w:r>
      <w:r w:rsidR="00CD773C" w:rsidRPr="00CD773C">
        <w:rPr>
          <w:rFonts w:ascii="Palatino Linotype" w:hAnsi="Palatino Linotype"/>
        </w:rPr>
        <w:t xml:space="preserve"> </w:t>
      </w:r>
      <w:r w:rsidR="00CD773C">
        <w:rPr>
          <w:rFonts w:ascii="Palatino Linotype" w:hAnsi="Palatino Linotype"/>
        </w:rPr>
        <w:t>students who transferred from</w:t>
      </w:r>
      <w:r w:rsidR="00CD773C" w:rsidRPr="00E22FCC">
        <w:rPr>
          <w:rFonts w:ascii="Palatino Linotype" w:hAnsi="Palatino Linotype"/>
        </w:rPr>
        <w:t xml:space="preserve"> </w:t>
      </w:r>
      <w:r w:rsidR="00CD773C">
        <w:rPr>
          <w:rFonts w:ascii="Palatino Linotype" w:hAnsi="Palatino Linotype"/>
        </w:rPr>
        <w:t>SWOCC is</w:t>
      </w:r>
      <w:r w:rsidR="00CD773C" w:rsidRPr="00E22FCC">
        <w:rPr>
          <w:rFonts w:ascii="Palatino Linotype" w:hAnsi="Palatino Linotype"/>
        </w:rPr>
        <w:t xml:space="preserve"> </w:t>
      </w:r>
      <w:r w:rsidR="00CD773C">
        <w:rPr>
          <w:rFonts w:ascii="Palatino Linotype" w:hAnsi="Palatino Linotype"/>
          <w:b/>
        </w:rPr>
        <w:t>18</w:t>
      </w:r>
      <w:r w:rsidR="00CD773C" w:rsidRPr="00E22FCC">
        <w:rPr>
          <w:rFonts w:ascii="Palatino Linotype" w:hAnsi="Palatino Linotype"/>
          <w:b/>
        </w:rPr>
        <w:t xml:space="preserve"> percentage points higher than expected</w:t>
      </w:r>
      <w:r w:rsidR="00CD773C" w:rsidRPr="00E22FCC">
        <w:rPr>
          <w:rFonts w:ascii="Palatino Linotype" w:hAnsi="Palatino Linotype"/>
        </w:rPr>
        <w:t xml:space="preserve"> </w:t>
      </w:r>
      <w:r w:rsidR="00DB723A" w:rsidRPr="00E22FCC">
        <w:rPr>
          <w:rFonts w:ascii="Palatino Linotype" w:hAnsi="Palatino Linotype"/>
        </w:rPr>
        <w:t>based on statistical analyses.</w:t>
      </w:r>
    </w:p>
    <w:p w14:paraId="63DEB42A" w14:textId="54752C54" w:rsidR="00555AA6" w:rsidRDefault="00555AA6" w:rsidP="00DB723A">
      <w:pPr>
        <w:spacing w:after="0" w:line="240" w:lineRule="auto"/>
        <w:rPr>
          <w:rFonts w:ascii="Palatino Linotype" w:hAnsi="Palatino Linotype"/>
        </w:rPr>
      </w:pPr>
    </w:p>
    <w:p w14:paraId="13C55580" w14:textId="1937DA1C" w:rsidR="00555AA6" w:rsidRDefault="00555AA6" w:rsidP="00555AA6">
      <w:pPr>
        <w:pStyle w:val="40RELfiguretitle"/>
        <w:rPr>
          <w:color w:val="404040" w:themeColor="text1" w:themeTint="BF"/>
          <w:sz w:val="20"/>
          <w:szCs w:val="20"/>
        </w:rPr>
      </w:pPr>
      <w:r>
        <w:rPr>
          <w:color w:val="404040" w:themeColor="text1" w:themeTint="BF"/>
          <w:sz w:val="20"/>
          <w:szCs w:val="20"/>
        </w:rPr>
        <w:t xml:space="preserve">Figure 1.  </w:t>
      </w:r>
      <w:r>
        <w:rPr>
          <w:sz w:val="20"/>
          <w:szCs w:val="20"/>
        </w:rPr>
        <w:t xml:space="preserve">The </w:t>
      </w:r>
      <w:r w:rsidR="008833AD">
        <w:rPr>
          <w:sz w:val="20"/>
          <w:szCs w:val="20"/>
        </w:rPr>
        <w:t>bachelor’s degree</w:t>
      </w:r>
      <w:r>
        <w:rPr>
          <w:sz w:val="20"/>
          <w:szCs w:val="20"/>
        </w:rPr>
        <w:t xml:space="preserve"> completion rates for American Indian/Alaska Native and Latinx/Hispanic students </w:t>
      </w:r>
      <w:r w:rsidR="00CD773C">
        <w:rPr>
          <w:sz w:val="20"/>
          <w:szCs w:val="20"/>
        </w:rPr>
        <w:t>who transfer</w:t>
      </w:r>
      <w:r w:rsidR="00D47E26">
        <w:rPr>
          <w:sz w:val="20"/>
          <w:szCs w:val="20"/>
        </w:rPr>
        <w:t>red</w:t>
      </w:r>
      <w:r w:rsidR="00CD773C">
        <w:rPr>
          <w:sz w:val="20"/>
          <w:szCs w:val="20"/>
        </w:rPr>
        <w:t xml:space="preserve"> from SWOCC </w:t>
      </w:r>
      <w:r>
        <w:rPr>
          <w:sz w:val="20"/>
          <w:szCs w:val="20"/>
        </w:rPr>
        <w:t>are higher than expected</w:t>
      </w:r>
    </w:p>
    <w:p w14:paraId="146DBC9C" w14:textId="00E7E774" w:rsidR="00555AA6" w:rsidRDefault="00555AA6" w:rsidP="00555AA6">
      <w:pPr>
        <w:pStyle w:val="41RELfigureunit"/>
        <w:rPr>
          <w:rFonts w:ascii="Arial" w:hAnsi="Arial"/>
          <w:sz w:val="20"/>
          <w:szCs w:val="20"/>
        </w:rPr>
      </w:pPr>
      <w:r>
        <w:rPr>
          <w:noProof/>
        </w:rPr>
        <w:drawing>
          <wp:inline distT="0" distB="0" distL="0" distR="0" wp14:anchorId="3DE4F630" wp14:editId="4D55D45E">
            <wp:extent cx="5943600" cy="18192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0E96D7C" w14:textId="6618CEAF" w:rsidR="00555AA6" w:rsidRPr="00CD773C" w:rsidRDefault="00555AA6" w:rsidP="00CD773C">
      <w:pPr>
        <w:pStyle w:val="43RELfiguresource"/>
      </w:pPr>
      <w:r w:rsidRPr="00CD773C">
        <w:t>Notes: The predicted bachelor’s completion rates are based on a regression model that predicts the probability that a transfer student earns a bachelor’s degree within six academic years from their first enrollment at community college. The models predict BA completion based on community college</w:t>
      </w:r>
      <w:r w:rsidR="00D47E26">
        <w:t xml:space="preserve">, high school, </w:t>
      </w:r>
      <w:r w:rsidRPr="00CD773C">
        <w:t>and student characteristics. Data</w:t>
      </w:r>
      <w:r w:rsidR="00CD773C" w:rsidRPr="00CD773C">
        <w:t xml:space="preserve"> on American Indian/Alaska Native recent public high school graduates</w:t>
      </w:r>
      <w:r w:rsidRPr="00CD773C">
        <w:t xml:space="preserve"> are from the Oregon Department of Education and include </w:t>
      </w:r>
      <w:r w:rsidR="00CD773C" w:rsidRPr="00CD773C">
        <w:t xml:space="preserve">American Indian/Alaska Native </w:t>
      </w:r>
      <w:r w:rsidRPr="00CD773C">
        <w:t xml:space="preserve">students who graduated from high school between 2004/05 and 2010/11 and entered </w:t>
      </w:r>
      <w:r w:rsidR="00CD773C" w:rsidRPr="00CD773C">
        <w:t>SWOCC</w:t>
      </w:r>
      <w:r w:rsidRPr="00CD773C">
        <w:t xml:space="preserve"> between 2005/06 and 2011/12.</w:t>
      </w:r>
      <w:bookmarkStart w:id="3" w:name="_Hlk5803630"/>
      <w:r w:rsidR="00CD773C" w:rsidRPr="00CD773C">
        <w:t xml:space="preserve"> Data on Latinx/Hispanic students are from the Higher Education Coordinating Commission and include all Latinx/Hispanic SWOCC students who entered between 2007/08 and 2010/11 and earned at least 12 credits in their first year.</w:t>
      </w:r>
      <w:bookmarkEnd w:id="3"/>
    </w:p>
    <w:p w14:paraId="261A0C75" w14:textId="49938950" w:rsidR="00555AA6" w:rsidRPr="00CD773C" w:rsidRDefault="00555AA6" w:rsidP="00CD773C">
      <w:pPr>
        <w:pStyle w:val="43RELfiguresource"/>
      </w:pPr>
      <w:r w:rsidRPr="00CD773C">
        <w:t xml:space="preserve">Source: </w:t>
      </w:r>
      <w:proofErr w:type="spellStart"/>
      <w:r w:rsidRPr="00CD773C">
        <w:t>ECONorthwest</w:t>
      </w:r>
      <w:proofErr w:type="spellEnd"/>
      <w:r w:rsidRPr="00CD773C">
        <w:t xml:space="preserve"> analysis of Oregon Department of Education and National Student Clearinghouse </w:t>
      </w:r>
      <w:r w:rsidR="00CD773C" w:rsidRPr="00CD773C">
        <w:t>and Higher Education Coordinating Commission data</w:t>
      </w:r>
    </w:p>
    <w:bookmarkEnd w:id="2"/>
    <w:p w14:paraId="7AAC4068" w14:textId="688115ED" w:rsidR="00DB723A" w:rsidRDefault="00DB723A" w:rsidP="00DB723A">
      <w:pPr>
        <w:pStyle w:val="Heading2"/>
      </w:pPr>
      <w:r>
        <w:t xml:space="preserve">What are overall </w:t>
      </w:r>
      <w:r w:rsidR="00D47E26">
        <w:t>completion rates for students who transferred from</w:t>
      </w:r>
      <w:r>
        <w:t xml:space="preserve"> </w:t>
      </w:r>
      <w:r w:rsidR="00E22FCC">
        <w:t>SWOCC</w:t>
      </w:r>
      <w:r>
        <w:t>?</w:t>
      </w:r>
    </w:p>
    <w:p w14:paraId="7C2A2B8B" w14:textId="171F1968" w:rsidR="00E50B9E" w:rsidRDefault="00E22FCC" w:rsidP="00B761CE">
      <w:pPr>
        <w:spacing w:after="0" w:line="240" w:lineRule="auto"/>
        <w:rPr>
          <w:rFonts w:ascii="Palatino Linotype" w:hAnsi="Palatino Linotype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D562B8" wp14:editId="0251AECF">
                <wp:simplePos x="0" y="0"/>
                <wp:positionH relativeFrom="column">
                  <wp:posOffset>3467100</wp:posOffset>
                </wp:positionH>
                <wp:positionV relativeFrom="paragraph">
                  <wp:posOffset>128270</wp:posOffset>
                </wp:positionV>
                <wp:extent cx="2583180" cy="990600"/>
                <wp:effectExtent l="0" t="0" r="26670" b="190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92148" w14:textId="77777777" w:rsidR="00E22FCC" w:rsidRDefault="00E22FCC" w:rsidP="00E22F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Who is included in this sample?</w:t>
                            </w:r>
                          </w:p>
                          <w:p w14:paraId="3BBEAB7C" w14:textId="731EA874" w:rsidR="00E22FCC" w:rsidRDefault="00E22FCC" w:rsidP="00E22F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Entered SWOCC in the fall between 2007/08 to 2010/11</w:t>
                            </w:r>
                          </w:p>
                          <w:p w14:paraId="1CC59635" w14:textId="77777777" w:rsidR="00E22FCC" w:rsidRDefault="00E22FCC" w:rsidP="00E22F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Earned at least 12 credits of any kind in their first year</w:t>
                            </w:r>
                          </w:p>
                          <w:p w14:paraId="632020C8" w14:textId="77777777" w:rsidR="00E22FCC" w:rsidRDefault="00E22FCC" w:rsidP="00E22FC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562B8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273pt;margin-top:10.1pt;width:203.4pt;height:7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vs9JQIAAEgEAAAOAAAAZHJzL2Uyb0RvYy54bWysVNtu2zAMfR+wfxD0vtjxkjYx4hRdugwD&#10;ugvQ7gNkWY6FSaImKbGzry8lp1nQbS/D/CCIInVEnkN6dTNoRQ7CeQmmotNJTokwHBppdhX99rh9&#10;s6DEB2YapsCIih6Fpzfr169WvS1FAR2oRjiCIMaXva1oF4Its8zzTmjmJ2CFQWcLTrOApttljWM9&#10;omuVFXl+lfXgGuuAC+/x9G500nXCb1vBw5e29SIQVVHMLaTVpbWOa7ZesXLnmO0kP6XB/iELzaTB&#10;R89QdywwsnfyNygtuQMPbZhw0Bm0reQi1YDVTPMX1Tx0zIpUC5Lj7Zkm//9g+efDV0dkU9Fiek2J&#10;YRpFehRDIO9gIPEMGeqtLzHwwWJoGNCBSqdqvb0H/t0TA5uOmZ24dQ76TrAGM5zGm9nF1RHHR5C6&#10;/wQNPsT2ARLQ0Dod6UNCCKKjUsezOjEZjofFfPF2ukAXR99ymV/lSb6Mlc+3rfPhgwBN4qaiDtVP&#10;6Oxw70PMhpXPIfExD0o2W6lUMtyu3ihHDgw7ZZu+VMCLMGVIj6/Pi/lIwF8h8vT9CULLgC2vpK7o&#10;4hzEykjbe9OkhgxMqnGPKStz4jFSN5IYhno46VJDc0RGHYytjaOImw7cT0p6bOuK+h975gQl6qNB&#10;VZbT2SzOQTJm8+sCDXfpqS89zHCEqmigZNxuQpqdSJiBW1SvlYnYKPOYySlXbNfE92m04jxc2inq&#10;1w9g/QQAAP//AwBQSwMEFAAGAAgAAAAhAFh+c1PgAAAACgEAAA8AAABkcnMvZG93bnJldi54bWxM&#10;j8FOwzAQRO9I/IO1SFwQdTBt2oY4FUICwQ0Kgqsbb5MIex1iNw1/z3KC42pHM++Vm8k7MeIQu0Aa&#10;rmYZCKQ62I4aDW+v95crEDEZssYFQg3fGGFTnZ6UprDhSC84blMjuIRiYTS0KfWFlLFu0Zs4Cz0S&#10;//Zh8CbxOTTSDubI5d5JlWW59KYjXmhNj3ct1p/bg9ewmj+OH/Hp+vm9zvdunS6W48PXoPX52XR7&#10;AyLhlP7C8IvP6FAx0y4cyEbhNCzmObskDSpTIDiwXih22XFymSuQVSn/K1Q/AAAA//8DAFBLAQIt&#10;ABQABgAIAAAAIQC2gziS/gAAAOEBAAATAAAAAAAAAAAAAAAAAAAAAABbQ29udGVudF9UeXBlc10u&#10;eG1sUEsBAi0AFAAGAAgAAAAhADj9If/WAAAAlAEAAAsAAAAAAAAAAAAAAAAALwEAAF9yZWxzLy5y&#10;ZWxzUEsBAi0AFAAGAAgAAAAhAAla+z0lAgAASAQAAA4AAAAAAAAAAAAAAAAALgIAAGRycy9lMm9E&#10;b2MueG1sUEsBAi0AFAAGAAgAAAAhAFh+c1PgAAAACgEAAA8AAAAAAAAAAAAAAAAAfwQAAGRycy9k&#10;b3ducmV2LnhtbFBLBQYAAAAABAAEAPMAAACMBQAAAAA=&#10;">
                <v:textbox>
                  <w:txbxContent>
                    <w:p w14:paraId="45392148" w14:textId="77777777" w:rsidR="00E22FCC" w:rsidRDefault="00E22FCC" w:rsidP="00E22FCC">
                      <w:pPr>
                        <w:spacing w:after="0" w:line="240" w:lineRule="auto"/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Who is included in this sample?</w:t>
                      </w:r>
                    </w:p>
                    <w:p w14:paraId="3BBEAB7C" w14:textId="731EA874" w:rsidR="00E22FCC" w:rsidRDefault="00E22FCC" w:rsidP="00E22F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Entered SWOCC in the fall between 2007/08 to 2010/11</w:t>
                      </w:r>
                    </w:p>
                    <w:p w14:paraId="1CC59635" w14:textId="77777777" w:rsidR="00E22FCC" w:rsidRDefault="00E22FCC" w:rsidP="00E22F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Earned at least 12 credits of any kind in their first year</w:t>
                      </w:r>
                    </w:p>
                    <w:p w14:paraId="632020C8" w14:textId="77777777" w:rsidR="00E22FCC" w:rsidRDefault="00E22FCC" w:rsidP="00E22FC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Palatino Linotype" w:hAnsi="Palatino Linotype"/>
        </w:rPr>
        <w:t>T</w:t>
      </w:r>
      <w:r w:rsidR="00B761CE" w:rsidRPr="00E50B9E">
        <w:rPr>
          <w:rFonts w:ascii="Palatino Linotype" w:hAnsi="Palatino Linotype"/>
        </w:rPr>
        <w:t>welve percent</w:t>
      </w:r>
      <w:r w:rsidR="00B761CE">
        <w:rPr>
          <w:rFonts w:ascii="Palatino Linotype" w:hAnsi="Palatino Linotype"/>
        </w:rPr>
        <w:t xml:space="preserve"> of </w:t>
      </w:r>
      <w:r w:rsidR="00D47E26">
        <w:rPr>
          <w:rFonts w:ascii="Palatino Linotype" w:hAnsi="Palatino Linotype"/>
        </w:rPr>
        <w:t xml:space="preserve">SWOCC </w:t>
      </w:r>
      <w:r w:rsidR="00B761CE">
        <w:rPr>
          <w:rFonts w:ascii="Palatino Linotype" w:hAnsi="Palatino Linotype"/>
        </w:rPr>
        <w:t>students at whose first enrollment was between 2007/08 and 2010/</w:t>
      </w:r>
      <w:r w:rsidR="00B761CE" w:rsidRPr="003E47F1">
        <w:rPr>
          <w:rFonts w:ascii="Palatino Linotype" w:hAnsi="Palatino Linotype"/>
        </w:rPr>
        <w:t xml:space="preserve">11 </w:t>
      </w:r>
      <w:r w:rsidR="00B761CE">
        <w:rPr>
          <w:rFonts w:ascii="Palatino Linotype" w:hAnsi="Palatino Linotype"/>
        </w:rPr>
        <w:t xml:space="preserve">transferred to an Oregon four-year university. Among these transfer students, almost half (49%) </w:t>
      </w:r>
      <w:r w:rsidR="00CD773C">
        <w:rPr>
          <w:rFonts w:ascii="Palatino Linotype" w:hAnsi="Palatino Linotype"/>
        </w:rPr>
        <w:t xml:space="preserve">earned a </w:t>
      </w:r>
      <w:r w:rsidR="008833AD" w:rsidRPr="00E22FCC">
        <w:rPr>
          <w:rFonts w:ascii="Palatino Linotype" w:hAnsi="Palatino Linotype"/>
        </w:rPr>
        <w:t xml:space="preserve">bachelor’s </w:t>
      </w:r>
      <w:r w:rsidR="008833AD">
        <w:rPr>
          <w:rFonts w:ascii="Palatino Linotype" w:hAnsi="Palatino Linotype"/>
        </w:rPr>
        <w:t>degree</w:t>
      </w:r>
      <w:r w:rsidR="00B761CE">
        <w:rPr>
          <w:rFonts w:ascii="Palatino Linotype" w:hAnsi="Palatino Linotype"/>
        </w:rPr>
        <w:t xml:space="preserve"> within six years. </w:t>
      </w:r>
      <w:r w:rsidR="00E50B9E">
        <w:rPr>
          <w:rFonts w:ascii="Palatino Linotype" w:hAnsi="Palatino Linotype"/>
        </w:rPr>
        <w:t xml:space="preserve">Overall, </w:t>
      </w:r>
      <w:r w:rsidR="00CD773C">
        <w:rPr>
          <w:rFonts w:ascii="Palatino Linotype" w:hAnsi="Palatino Linotype"/>
        </w:rPr>
        <w:t>6</w:t>
      </w:r>
      <w:r w:rsidR="00E50B9E">
        <w:rPr>
          <w:rFonts w:ascii="Palatino Linotype" w:hAnsi="Palatino Linotype"/>
        </w:rPr>
        <w:t xml:space="preserve"> percent of all SWOCC students in the 2007/08 to 2010/11 </w:t>
      </w:r>
      <w:r w:rsidR="00E50B9E">
        <w:rPr>
          <w:rFonts w:ascii="Palatino Linotype" w:hAnsi="Palatino Linotype"/>
        </w:rPr>
        <w:lastRenderedPageBreak/>
        <w:t xml:space="preserve">cohorts—not just transfer students—earned a </w:t>
      </w:r>
      <w:r w:rsidR="008833AD" w:rsidRPr="00E22FCC">
        <w:rPr>
          <w:rFonts w:ascii="Palatino Linotype" w:hAnsi="Palatino Linotype"/>
        </w:rPr>
        <w:t xml:space="preserve">bachelor’s </w:t>
      </w:r>
      <w:r w:rsidR="008833AD">
        <w:rPr>
          <w:rFonts w:ascii="Palatino Linotype" w:hAnsi="Palatino Linotype"/>
        </w:rPr>
        <w:t xml:space="preserve">degree </w:t>
      </w:r>
      <w:r w:rsidR="00E50B9E">
        <w:rPr>
          <w:rFonts w:ascii="Palatino Linotype" w:hAnsi="Palatino Linotype"/>
        </w:rPr>
        <w:t xml:space="preserve">within six years. The overall </w:t>
      </w:r>
      <w:r w:rsidR="00294682" w:rsidRPr="00E22FCC">
        <w:rPr>
          <w:rFonts w:ascii="Palatino Linotype" w:hAnsi="Palatino Linotype"/>
        </w:rPr>
        <w:t xml:space="preserve">bachelor’s </w:t>
      </w:r>
      <w:r w:rsidR="00294682">
        <w:rPr>
          <w:rFonts w:ascii="Palatino Linotype" w:hAnsi="Palatino Linotype"/>
        </w:rPr>
        <w:t xml:space="preserve">degree </w:t>
      </w:r>
      <w:bookmarkStart w:id="4" w:name="_GoBack"/>
      <w:bookmarkEnd w:id="4"/>
      <w:r w:rsidR="00E50B9E">
        <w:rPr>
          <w:rFonts w:ascii="Palatino Linotype" w:hAnsi="Palatino Linotype"/>
        </w:rPr>
        <w:t xml:space="preserve">completion percentage reflects both the volume of transfer students and the extent to which transfer students earn a </w:t>
      </w:r>
      <w:r w:rsidR="008833AD" w:rsidRPr="00E22FCC">
        <w:rPr>
          <w:rFonts w:ascii="Palatino Linotype" w:hAnsi="Palatino Linotype"/>
        </w:rPr>
        <w:t xml:space="preserve">bachelor’s </w:t>
      </w:r>
      <w:r w:rsidR="008833AD">
        <w:rPr>
          <w:rFonts w:ascii="Palatino Linotype" w:hAnsi="Palatino Linotype"/>
        </w:rPr>
        <w:t>degree</w:t>
      </w:r>
      <w:r w:rsidR="00E50B9E">
        <w:rPr>
          <w:rFonts w:ascii="Palatino Linotype" w:hAnsi="Palatino Linotype"/>
        </w:rPr>
        <w:t>.</w:t>
      </w:r>
    </w:p>
    <w:p w14:paraId="0F5C2380" w14:textId="1B0CCA14" w:rsidR="002E1D6A" w:rsidRDefault="002E1D6A" w:rsidP="00297E6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AF9570C" w14:textId="4F66E4C6" w:rsidR="002E1D6A" w:rsidRPr="002727F0" w:rsidRDefault="002E1D6A" w:rsidP="002E1D6A">
      <w:pPr>
        <w:pStyle w:val="40RELfiguretitle"/>
        <w:rPr>
          <w:color w:val="404040" w:themeColor="text1" w:themeTint="BF"/>
          <w:sz w:val="20"/>
          <w:szCs w:val="20"/>
        </w:rPr>
      </w:pPr>
      <w:bookmarkStart w:id="5" w:name="_Hlk5980798"/>
      <w:r w:rsidRPr="002727F0">
        <w:rPr>
          <w:color w:val="404040" w:themeColor="text1" w:themeTint="BF"/>
          <w:sz w:val="20"/>
          <w:szCs w:val="20"/>
        </w:rPr>
        <w:t xml:space="preserve">Figure </w:t>
      </w:r>
      <w:r w:rsidR="00987CE3" w:rsidRPr="002727F0">
        <w:rPr>
          <w:color w:val="404040" w:themeColor="text1" w:themeTint="BF"/>
          <w:sz w:val="20"/>
          <w:szCs w:val="20"/>
        </w:rPr>
        <w:t>1</w:t>
      </w:r>
      <w:r w:rsidRPr="002727F0">
        <w:rPr>
          <w:color w:val="404040" w:themeColor="text1" w:themeTint="BF"/>
          <w:sz w:val="20"/>
          <w:szCs w:val="20"/>
        </w:rPr>
        <w:t xml:space="preserve">. </w:t>
      </w:r>
      <w:r w:rsidR="00987CE3" w:rsidRPr="002727F0">
        <w:rPr>
          <w:color w:val="404040" w:themeColor="text1" w:themeTint="BF"/>
          <w:sz w:val="20"/>
          <w:szCs w:val="20"/>
        </w:rPr>
        <w:t xml:space="preserve"> Almost half of transfer students from SWOCC earn</w:t>
      </w:r>
      <w:r w:rsidR="00922ACB" w:rsidRPr="002727F0">
        <w:rPr>
          <w:color w:val="404040" w:themeColor="text1" w:themeTint="BF"/>
          <w:sz w:val="20"/>
          <w:szCs w:val="20"/>
        </w:rPr>
        <w:t>ed</w:t>
      </w:r>
      <w:r w:rsidR="00987CE3" w:rsidRPr="002727F0">
        <w:rPr>
          <w:color w:val="404040" w:themeColor="text1" w:themeTint="BF"/>
          <w:sz w:val="20"/>
          <w:szCs w:val="20"/>
        </w:rPr>
        <w:t xml:space="preserve"> a </w:t>
      </w:r>
      <w:r w:rsidR="008833AD">
        <w:rPr>
          <w:sz w:val="20"/>
          <w:szCs w:val="20"/>
        </w:rPr>
        <w:t>bachelor’s degree</w:t>
      </w:r>
      <w:r w:rsidR="00987CE3" w:rsidRPr="002727F0">
        <w:rPr>
          <w:color w:val="404040" w:themeColor="text1" w:themeTint="BF"/>
          <w:sz w:val="20"/>
          <w:szCs w:val="20"/>
        </w:rPr>
        <w:t xml:space="preserve"> within six years </w:t>
      </w:r>
    </w:p>
    <w:p w14:paraId="1ACD3DC3" w14:textId="220666F4" w:rsidR="00B20276" w:rsidRDefault="00B20276" w:rsidP="002E1D6A">
      <w:pPr>
        <w:pStyle w:val="41RELfigureunit"/>
        <w:rPr>
          <w:rFonts w:ascii="Arial" w:hAnsi="Arial"/>
          <w:sz w:val="20"/>
          <w:szCs w:val="20"/>
        </w:rPr>
      </w:pPr>
      <w:r>
        <w:rPr>
          <w:rFonts w:ascii="Palatino Linotype" w:hAnsi="Palatino Linotype"/>
          <w:noProof/>
        </w:rPr>
        <w:drawing>
          <wp:inline distT="0" distB="0" distL="0" distR="0" wp14:anchorId="6AA86106" wp14:editId="7D5C66B3">
            <wp:extent cx="5943600" cy="1823300"/>
            <wp:effectExtent l="0" t="0" r="0" b="571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0B33515" w14:textId="54A1D75B" w:rsidR="002E1D6A" w:rsidRPr="002727F0" w:rsidRDefault="002E1D6A" w:rsidP="002E1D6A">
      <w:pPr>
        <w:pStyle w:val="43RELfiguresource"/>
        <w:rPr>
          <w:color w:val="404040" w:themeColor="text1" w:themeTint="BF"/>
        </w:rPr>
      </w:pPr>
      <w:r w:rsidRPr="002727F0">
        <w:rPr>
          <w:color w:val="404040" w:themeColor="text1" w:themeTint="BF"/>
        </w:rPr>
        <w:t>Source</w:t>
      </w:r>
      <w:r w:rsidRPr="002727F0">
        <w:rPr>
          <w:b/>
          <w:color w:val="404040" w:themeColor="text1" w:themeTint="BF"/>
        </w:rPr>
        <w:t xml:space="preserve">: </w:t>
      </w:r>
      <w:proofErr w:type="spellStart"/>
      <w:r w:rsidR="00E22FCC">
        <w:rPr>
          <w:color w:val="404040" w:themeColor="text1" w:themeTint="BF"/>
        </w:rPr>
        <w:t>ECONorthwest</w:t>
      </w:r>
      <w:proofErr w:type="spellEnd"/>
      <w:r w:rsidR="00E22FCC">
        <w:rPr>
          <w:color w:val="404040" w:themeColor="text1" w:themeTint="BF"/>
        </w:rPr>
        <w:t xml:space="preserve"> analysis of Higher Education Coordinating Commission data</w:t>
      </w:r>
    </w:p>
    <w:p w14:paraId="50D474C6" w14:textId="7E8C2D54" w:rsidR="00F003E0" w:rsidRPr="0036067C" w:rsidRDefault="00E22FCC" w:rsidP="00297E6B">
      <w:pPr>
        <w:spacing w:after="0" w:line="240" w:lineRule="auto"/>
        <w:rPr>
          <w:rFonts w:ascii="Palatino Linotype" w:hAnsi="Palatino Linotype"/>
        </w:rPr>
      </w:pPr>
      <w:bookmarkStart w:id="6" w:name="_Hlk5791910"/>
      <w:bookmarkEnd w:id="5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1FB40B9" wp14:editId="78230861">
                <wp:simplePos x="0" y="0"/>
                <wp:positionH relativeFrom="column">
                  <wp:posOffset>3448050</wp:posOffset>
                </wp:positionH>
                <wp:positionV relativeFrom="paragraph">
                  <wp:posOffset>261620</wp:posOffset>
                </wp:positionV>
                <wp:extent cx="2905760" cy="1314450"/>
                <wp:effectExtent l="0" t="0" r="2286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76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EF8CF" w14:textId="77777777" w:rsidR="00E22FCC" w:rsidRDefault="00E22FCC" w:rsidP="00E22F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  <w:sz w:val="20"/>
                                <w:szCs w:val="20"/>
                              </w:rPr>
                              <w:t>Who is included in this sample?</w:t>
                            </w:r>
                          </w:p>
                          <w:p w14:paraId="40CC03ED" w14:textId="77777777" w:rsidR="00E22FCC" w:rsidRDefault="00E22FCC" w:rsidP="00E22F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Graduated from an Oregon public high school between 2004/05-2010/11</w:t>
                            </w:r>
                          </w:p>
                          <w:p w14:paraId="6DBF760F" w14:textId="77777777" w:rsidR="00E22FCC" w:rsidRDefault="00E22FCC" w:rsidP="00E22F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Entered an Oregon community college in the fall between 2005/06 to 2011/12</w:t>
                            </w:r>
                          </w:p>
                          <w:p w14:paraId="65210AEB" w14:textId="77777777" w:rsidR="00E22FCC" w:rsidRDefault="00E22FCC" w:rsidP="00E22FC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Earned at least 12 credits of any kind in their first year</w:t>
                            </w:r>
                          </w:p>
                          <w:p w14:paraId="3FACC1BF" w14:textId="77777777" w:rsidR="00E22FCC" w:rsidRDefault="00E22FCC" w:rsidP="00E22FC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B40B9" id="Text Box 1" o:spid="_x0000_s1027" type="#_x0000_t202" style="position:absolute;margin-left:271.5pt;margin-top:20.6pt;width:228.8pt;height:103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l2KAIAAEwEAAAOAAAAZHJzL2Uyb0RvYy54bWysVNtu2zAMfR+wfxD0vtjJkrYx4hRdugwD&#10;ugvQ7gNkWY6FSaImKbGzry8lu5mx7WmYHwRRpI7Ic0hvbnutyEk4L8GUdD7LKRGGQy3NoaTfnvZv&#10;bijxgZmaKTCipGfh6e329atNZwuxgBZULRxBEOOLzpa0DcEWWeZ5KzTzM7DCoLMBp1lA0x2y2rEO&#10;0bXKFnl+lXXgauuAC+/x9H5w0m3CbxrBw5em8SIQVVLMLaTVpbWKa7bdsOLgmG0lH9Ng/5CFZtLg&#10;oxeoexYYOTr5B5SW3IGHJsw46AyaRnKRasBq5vlv1Ty2zIpUC5Lj7YUm//9g+efTV0dkjdpRYphG&#10;iZ5EH8g76Mk8stNZX2DQo8Ww0ONxjIyVevsA/LsnBnYtMwdx5xx0rWA1ZpduZpOrA46PIFX3CWp8&#10;hh0DJKC+cToCIhkE0VGl80WZmArHw8U6X11foYujb/52vlyuknYZK16uW+fDBwGaxE1JHUqf4Nnp&#10;wQcsBENfQlL6oGS9l0olwx2qnXLkxLBN9umLteMVPw1ThnQlXa8Wq4GBqc9PIfL0/Q1Cy4D9rqQu&#10;6c0liBWRt/emTt0YmFTDHt9XBtOIREbuBhZDX/WjYqM+FdRnZNbB0N44jrhpwf2kpMPWLqn/cWRO&#10;UKI+GlRnjfTFWUjGcnW9QMNNPdXUwwxHqJIGSobtLqT5ibwZuEMVG5n4jVkOmYwpY8smDsfxijMx&#10;tVPUr5/A9hkAAP//AwBQSwMEFAAGAAgAAAAhAPRxZx/fAAAACwEAAA8AAABkcnMvZG93bnJldi54&#10;bWxMj8FuwjAQRO+V+g/WVuqtOElDhdJsUIXEhVtTRDmaeBsH4nUUGwh/X3Nqj6MZzbwpl5PtxYVG&#10;3zlGSGcJCOLG6Y5bhO3X+mUBwgfFWvWOCeFGHpbV40OpCu2u/EmXOrQilrAvFIIJYSik9I0hq/zM&#10;DcTR+3GjVSHKsZV6VNdYbnuZJcmbtKrjuGDUQCtDzak+WwR/Stfzb3fcmv3mZurjvtt1mxXi89P0&#10;8Q4i0BT+wnDHj+hQRaaDO7P2okeY56/xS0DI0wzEPZDEPRAHhCxfZCCrUv7/UP0CAAD//wMAUEsB&#10;Ai0AFAAGAAgAAAAhALaDOJL+AAAA4QEAABMAAAAAAAAAAAAAAAAAAAAAAFtDb250ZW50X1R5cGVz&#10;XS54bWxQSwECLQAUAAYACAAAACEAOP0h/9YAAACUAQAACwAAAAAAAAAAAAAAAAAvAQAAX3JlbHMv&#10;LnJlbHNQSwECLQAUAAYACAAAACEA7VSJdigCAABMBAAADgAAAAAAAAAAAAAAAAAuAgAAZHJzL2Uy&#10;b0RvYy54bWxQSwECLQAUAAYACAAAACEA9HFnH98AAAALAQAADwAAAAAAAAAAAAAAAACCBAAAZHJz&#10;L2Rvd25yZXYueG1sUEsFBgAAAAAEAAQA8wAAAI4FAAAAAA==&#10;">
                <v:textbox>
                  <w:txbxContent>
                    <w:p w14:paraId="4EEEF8CF" w14:textId="77777777" w:rsidR="00E22FCC" w:rsidRDefault="00E22FCC" w:rsidP="00E22FCC">
                      <w:pPr>
                        <w:spacing w:after="0" w:line="240" w:lineRule="auto"/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i/>
                          <w:sz w:val="20"/>
                          <w:szCs w:val="20"/>
                        </w:rPr>
                        <w:t>Who is included in this sample?</w:t>
                      </w:r>
                    </w:p>
                    <w:p w14:paraId="40CC03ED" w14:textId="77777777" w:rsidR="00E22FCC" w:rsidRDefault="00E22FCC" w:rsidP="00E22F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Graduated from an Oregon public high school between 2004/05-2010/11</w:t>
                      </w:r>
                    </w:p>
                    <w:p w14:paraId="6DBF760F" w14:textId="77777777" w:rsidR="00E22FCC" w:rsidRDefault="00E22FCC" w:rsidP="00E22F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Entered an Oregon community college in the fall between 2005/06 to 2011/12</w:t>
                      </w:r>
                    </w:p>
                    <w:p w14:paraId="65210AEB" w14:textId="77777777" w:rsidR="00E22FCC" w:rsidRDefault="00E22FCC" w:rsidP="00E22FC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Earned at least 12 credits of any kind in their first year</w:t>
                      </w:r>
                    </w:p>
                    <w:p w14:paraId="3FACC1BF" w14:textId="77777777" w:rsidR="00E22FCC" w:rsidRDefault="00E22FCC" w:rsidP="00E22FCC">
                      <w:pPr>
                        <w:rPr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6"/>
    </w:p>
    <w:p w14:paraId="79655DF6" w14:textId="1F723F27" w:rsidR="00B761CE" w:rsidRDefault="00E22FCC" w:rsidP="00B761CE">
      <w:pPr>
        <w:spacing w:after="0" w:line="240" w:lineRule="auto"/>
        <w:rPr>
          <w:rFonts w:ascii="Palatino Linotype" w:hAnsi="Palatino Linotype"/>
        </w:rPr>
      </w:pPr>
      <w:r w:rsidRPr="00E22FCC">
        <w:rPr>
          <w:rFonts w:ascii="Palatino Linotype" w:hAnsi="Palatino Linotype"/>
          <w:bCs/>
        </w:rPr>
        <w:t xml:space="preserve">Among </w:t>
      </w:r>
      <w:r w:rsidRPr="00E22FCC">
        <w:rPr>
          <w:rFonts w:ascii="Palatino Linotype" w:hAnsi="Palatino Linotype"/>
        </w:rPr>
        <w:t xml:space="preserve">Oregon’s </w:t>
      </w:r>
      <w:r w:rsidRPr="00E22FCC">
        <w:rPr>
          <w:rFonts w:ascii="Palatino Linotype" w:hAnsi="Palatino Linotype"/>
          <w:bCs/>
        </w:rPr>
        <w:t xml:space="preserve">recent </w:t>
      </w:r>
      <w:r w:rsidRPr="00E22FCC">
        <w:rPr>
          <w:rFonts w:ascii="Palatino Linotype" w:hAnsi="Palatino Linotype"/>
        </w:rPr>
        <w:t xml:space="preserve">public </w:t>
      </w:r>
      <w:r w:rsidRPr="00E22FCC">
        <w:rPr>
          <w:rFonts w:ascii="Palatino Linotype" w:hAnsi="Palatino Linotype"/>
          <w:bCs/>
        </w:rPr>
        <w:t xml:space="preserve">high school graduates who began their studies at </w:t>
      </w:r>
      <w:r>
        <w:rPr>
          <w:rFonts w:ascii="Palatino Linotype" w:hAnsi="Palatino Linotype"/>
          <w:bCs/>
        </w:rPr>
        <w:t>SWOCC</w:t>
      </w:r>
      <w:r w:rsidRPr="00E22FCC">
        <w:rPr>
          <w:rFonts w:ascii="Palatino Linotype" w:hAnsi="Palatino Linotype"/>
          <w:bCs/>
        </w:rPr>
        <w:t xml:space="preserve"> between 2005/06 and 201</w:t>
      </w:r>
      <w:r w:rsidRPr="00E22FCC">
        <w:rPr>
          <w:rFonts w:ascii="Palatino Linotype" w:hAnsi="Palatino Linotype"/>
        </w:rPr>
        <w:t>1</w:t>
      </w:r>
      <w:r w:rsidRPr="00E22FCC">
        <w:rPr>
          <w:rFonts w:ascii="Palatino Linotype" w:hAnsi="Palatino Linotype"/>
          <w:bCs/>
        </w:rPr>
        <w:t>/1</w:t>
      </w:r>
      <w:r w:rsidRPr="00E22FCC">
        <w:rPr>
          <w:rFonts w:ascii="Palatino Linotype" w:hAnsi="Palatino Linotype"/>
        </w:rPr>
        <w:t>2</w:t>
      </w:r>
      <w:r w:rsidR="00B761CE" w:rsidRPr="00E22FCC">
        <w:rPr>
          <w:rFonts w:ascii="Palatino Linotype" w:hAnsi="Palatino Linotype"/>
        </w:rPr>
        <w:t>,</w:t>
      </w:r>
      <w:r w:rsidR="00B761CE">
        <w:rPr>
          <w:rFonts w:ascii="Palatino Linotype" w:hAnsi="Palatino Linotype"/>
        </w:rPr>
        <w:t xml:space="preserve"> </w:t>
      </w:r>
      <w:r w:rsidR="007C0307">
        <w:rPr>
          <w:rFonts w:ascii="Palatino Linotype" w:hAnsi="Palatino Linotype"/>
        </w:rPr>
        <w:t>28</w:t>
      </w:r>
      <w:r w:rsidR="00431D50" w:rsidRPr="000D2AD1">
        <w:rPr>
          <w:rFonts w:ascii="Palatino Linotype" w:hAnsi="Palatino Linotype"/>
        </w:rPr>
        <w:t xml:space="preserve"> percent</w:t>
      </w:r>
      <w:r w:rsidR="00B761CE">
        <w:rPr>
          <w:rFonts w:ascii="Palatino Linotype" w:hAnsi="Palatino Linotype"/>
        </w:rPr>
        <w:t xml:space="preserve"> transferred to four-year universities, and among these transfer students, </w:t>
      </w:r>
      <w:r w:rsidR="007C0307">
        <w:rPr>
          <w:rFonts w:ascii="Palatino Linotype" w:hAnsi="Palatino Linotype"/>
        </w:rPr>
        <w:t>40</w:t>
      </w:r>
      <w:r w:rsidR="00A4167A" w:rsidRPr="000D2AD1">
        <w:rPr>
          <w:rFonts w:ascii="Palatino Linotype" w:hAnsi="Palatino Linotype"/>
        </w:rPr>
        <w:t xml:space="preserve"> percent</w:t>
      </w:r>
      <w:r w:rsidR="00A4167A">
        <w:rPr>
          <w:rFonts w:ascii="Palatino Linotype" w:hAnsi="Palatino Linotype"/>
        </w:rPr>
        <w:t xml:space="preserve"> </w:t>
      </w:r>
      <w:r w:rsidR="00B761CE">
        <w:rPr>
          <w:rFonts w:ascii="Palatino Linotype" w:hAnsi="Palatino Linotype"/>
        </w:rPr>
        <w:t xml:space="preserve">received a </w:t>
      </w:r>
      <w:r w:rsidR="008833AD" w:rsidRPr="00E22FCC">
        <w:rPr>
          <w:rFonts w:ascii="Palatino Linotype" w:hAnsi="Palatino Linotype"/>
        </w:rPr>
        <w:t xml:space="preserve">bachelor’s </w:t>
      </w:r>
      <w:r w:rsidR="008833AD">
        <w:rPr>
          <w:rFonts w:ascii="Palatino Linotype" w:hAnsi="Palatino Linotype"/>
        </w:rPr>
        <w:t>degree</w:t>
      </w:r>
      <w:r w:rsidR="00B761CE">
        <w:rPr>
          <w:rFonts w:ascii="Palatino Linotype" w:hAnsi="Palatino Linotype"/>
        </w:rPr>
        <w:t xml:space="preserve"> within six years. </w:t>
      </w:r>
      <w:r w:rsidR="000D2AD1">
        <w:rPr>
          <w:rFonts w:ascii="Palatino Linotype" w:hAnsi="Palatino Linotype"/>
        </w:rPr>
        <w:t xml:space="preserve">Overall, about </w:t>
      </w:r>
      <w:r w:rsidR="007C0307">
        <w:rPr>
          <w:rFonts w:ascii="Palatino Linotype" w:hAnsi="Palatino Linotype"/>
        </w:rPr>
        <w:t>10</w:t>
      </w:r>
      <w:r w:rsidR="000D2AD1">
        <w:rPr>
          <w:rFonts w:ascii="Palatino Linotype" w:hAnsi="Palatino Linotype"/>
        </w:rPr>
        <w:t xml:space="preserve"> percent of all SWOCC students</w:t>
      </w:r>
      <w:r>
        <w:rPr>
          <w:rFonts w:ascii="Palatino Linotype" w:hAnsi="Palatino Linotype"/>
        </w:rPr>
        <w:t xml:space="preserve"> who were recent public high school graduates</w:t>
      </w:r>
      <w:r w:rsidR="000D2AD1">
        <w:rPr>
          <w:rFonts w:ascii="Palatino Linotype" w:hAnsi="Palatino Linotype"/>
        </w:rPr>
        <w:t xml:space="preserve">—not just transfer students—earned a </w:t>
      </w:r>
      <w:r w:rsidR="008833AD" w:rsidRPr="00E22FCC">
        <w:rPr>
          <w:rFonts w:ascii="Palatino Linotype" w:hAnsi="Palatino Linotype"/>
        </w:rPr>
        <w:t xml:space="preserve">bachelor’s </w:t>
      </w:r>
      <w:r w:rsidR="008833AD">
        <w:rPr>
          <w:rFonts w:ascii="Palatino Linotype" w:hAnsi="Palatino Linotype"/>
        </w:rPr>
        <w:t>degree</w:t>
      </w:r>
      <w:r w:rsidR="000D2AD1">
        <w:rPr>
          <w:rFonts w:ascii="Palatino Linotype" w:hAnsi="Palatino Linotype"/>
        </w:rPr>
        <w:t xml:space="preserve"> within six years. </w:t>
      </w:r>
      <w:r w:rsidR="000D2AD1" w:rsidRPr="00A4167A">
        <w:rPr>
          <w:rFonts w:ascii="Palatino Linotype" w:hAnsi="Palatino Linotype"/>
        </w:rPr>
        <w:t xml:space="preserve"> </w:t>
      </w:r>
    </w:p>
    <w:p w14:paraId="2BA103B0" w14:textId="5B17483C" w:rsidR="0036067C" w:rsidRDefault="0036067C" w:rsidP="00297E6B">
      <w:pPr>
        <w:spacing w:after="0" w:line="240" w:lineRule="auto"/>
        <w:rPr>
          <w:rFonts w:ascii="Palatino Linotype" w:hAnsi="Palatino Linotype"/>
        </w:rPr>
      </w:pPr>
    </w:p>
    <w:p w14:paraId="446B21F2" w14:textId="7CBDC903" w:rsidR="00E22FCC" w:rsidRPr="002727F0" w:rsidRDefault="0036067C" w:rsidP="00E22FCC">
      <w:pPr>
        <w:pStyle w:val="40RELfiguretitle"/>
        <w:rPr>
          <w:color w:val="404040" w:themeColor="text1" w:themeTint="BF"/>
          <w:sz w:val="20"/>
          <w:szCs w:val="20"/>
        </w:rPr>
      </w:pPr>
      <w:r w:rsidRPr="002727F0">
        <w:rPr>
          <w:color w:val="404040" w:themeColor="text1" w:themeTint="BF"/>
          <w:sz w:val="20"/>
          <w:szCs w:val="20"/>
        </w:rPr>
        <w:t xml:space="preserve">Figure </w:t>
      </w:r>
      <w:r>
        <w:rPr>
          <w:color w:val="404040" w:themeColor="text1" w:themeTint="BF"/>
          <w:sz w:val="20"/>
          <w:szCs w:val="20"/>
        </w:rPr>
        <w:t>2</w:t>
      </w:r>
      <w:r w:rsidRPr="002727F0">
        <w:rPr>
          <w:color w:val="404040" w:themeColor="text1" w:themeTint="BF"/>
          <w:sz w:val="20"/>
          <w:szCs w:val="20"/>
        </w:rPr>
        <w:t xml:space="preserve">.  </w:t>
      </w:r>
      <w:r w:rsidR="00E22FCC">
        <w:rPr>
          <w:color w:val="404040" w:themeColor="text1" w:themeTint="BF"/>
          <w:sz w:val="20"/>
          <w:szCs w:val="20"/>
        </w:rPr>
        <w:t>About 40%</w:t>
      </w:r>
      <w:r w:rsidR="00E22FCC" w:rsidRPr="002727F0">
        <w:rPr>
          <w:color w:val="404040" w:themeColor="text1" w:themeTint="BF"/>
          <w:sz w:val="20"/>
          <w:szCs w:val="20"/>
        </w:rPr>
        <w:t xml:space="preserve"> of transfer students from SWOCC</w:t>
      </w:r>
      <w:r w:rsidR="00E22FCC">
        <w:rPr>
          <w:color w:val="404040" w:themeColor="text1" w:themeTint="BF"/>
          <w:sz w:val="20"/>
          <w:szCs w:val="20"/>
        </w:rPr>
        <w:t xml:space="preserve"> (who were recent public high school graduates)</w:t>
      </w:r>
      <w:r w:rsidR="00E22FCC" w:rsidRPr="002727F0">
        <w:rPr>
          <w:color w:val="404040" w:themeColor="text1" w:themeTint="BF"/>
          <w:sz w:val="20"/>
          <w:szCs w:val="20"/>
        </w:rPr>
        <w:t xml:space="preserve"> earned </w:t>
      </w:r>
      <w:r w:rsidR="008833AD">
        <w:rPr>
          <w:color w:val="404040" w:themeColor="text1" w:themeTint="BF"/>
          <w:sz w:val="20"/>
          <w:szCs w:val="20"/>
        </w:rPr>
        <w:t xml:space="preserve">a </w:t>
      </w:r>
      <w:r w:rsidR="008833AD">
        <w:rPr>
          <w:sz w:val="20"/>
          <w:szCs w:val="20"/>
        </w:rPr>
        <w:t xml:space="preserve">bachelor’s degree </w:t>
      </w:r>
      <w:r w:rsidR="00E22FCC" w:rsidRPr="002727F0">
        <w:rPr>
          <w:color w:val="404040" w:themeColor="text1" w:themeTint="BF"/>
          <w:sz w:val="20"/>
          <w:szCs w:val="20"/>
        </w:rPr>
        <w:t xml:space="preserve">within six years </w:t>
      </w:r>
    </w:p>
    <w:p w14:paraId="53BBEA55" w14:textId="77777777" w:rsidR="0036067C" w:rsidRDefault="0036067C" w:rsidP="0036067C">
      <w:pPr>
        <w:pStyle w:val="41RELfigureunit"/>
        <w:rPr>
          <w:rFonts w:ascii="Arial" w:hAnsi="Arial"/>
          <w:sz w:val="20"/>
          <w:szCs w:val="20"/>
        </w:rPr>
      </w:pPr>
      <w:r>
        <w:rPr>
          <w:rFonts w:ascii="Palatino Linotype" w:hAnsi="Palatino Linotype"/>
          <w:noProof/>
        </w:rPr>
        <w:drawing>
          <wp:inline distT="0" distB="0" distL="0" distR="0" wp14:anchorId="14D0BAB2" wp14:editId="7AF63F7B">
            <wp:extent cx="6019800" cy="20955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7E612E5" w14:textId="6FDB1525" w:rsidR="001B7ABD" w:rsidRPr="007C0307" w:rsidRDefault="0036067C" w:rsidP="007C0307">
      <w:pPr>
        <w:pStyle w:val="43RELfiguresource"/>
        <w:rPr>
          <w:rFonts w:ascii="Palatino Linotype" w:hAnsi="Palatino Linotype"/>
          <w:i/>
        </w:rPr>
      </w:pPr>
      <w:r w:rsidRPr="002727F0">
        <w:rPr>
          <w:color w:val="404040" w:themeColor="text1" w:themeTint="BF"/>
        </w:rPr>
        <w:t>Source</w:t>
      </w:r>
      <w:r w:rsidRPr="002727F0">
        <w:rPr>
          <w:b/>
          <w:color w:val="404040" w:themeColor="text1" w:themeTint="BF"/>
        </w:rPr>
        <w:t xml:space="preserve">: </w:t>
      </w:r>
      <w:proofErr w:type="spellStart"/>
      <w:r w:rsidR="00E22FCC">
        <w:rPr>
          <w:color w:val="404040" w:themeColor="text1" w:themeTint="BF"/>
        </w:rPr>
        <w:t>ECONorthwest</w:t>
      </w:r>
      <w:proofErr w:type="spellEnd"/>
      <w:r w:rsidR="00E22FCC">
        <w:rPr>
          <w:color w:val="404040" w:themeColor="text1" w:themeTint="BF"/>
        </w:rPr>
        <w:t xml:space="preserve"> analysis of Oregon Department of Education data</w:t>
      </w:r>
    </w:p>
    <w:sectPr w:rsidR="001B7ABD" w:rsidRPr="007C0307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547E0" w14:textId="77777777" w:rsidR="002E4C4B" w:rsidRDefault="002E4C4B" w:rsidP="002E4C4B">
      <w:pPr>
        <w:spacing w:after="0" w:line="240" w:lineRule="auto"/>
      </w:pPr>
      <w:r>
        <w:separator/>
      </w:r>
    </w:p>
  </w:endnote>
  <w:endnote w:type="continuationSeparator" w:id="0">
    <w:p w14:paraId="19A8D085" w14:textId="77777777" w:rsidR="002E4C4B" w:rsidRDefault="002E4C4B" w:rsidP="002E4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1299085"/>
      <w:docPartObj>
        <w:docPartGallery w:val="Page Numbers (Bottom of Page)"/>
        <w:docPartUnique/>
      </w:docPartObj>
    </w:sdtPr>
    <w:sdtEndPr>
      <w:rPr>
        <w:rFonts w:ascii="Palatino Linotype" w:hAnsi="Palatino Linotype"/>
        <w:noProof/>
      </w:rPr>
    </w:sdtEndPr>
    <w:sdtContent>
      <w:p w14:paraId="1D09A5B5" w14:textId="687F3A63" w:rsidR="007C7F61" w:rsidRPr="00EB750F" w:rsidRDefault="007C7F61">
        <w:pPr>
          <w:pStyle w:val="Footer"/>
          <w:jc w:val="right"/>
          <w:rPr>
            <w:rFonts w:ascii="Palatino Linotype" w:hAnsi="Palatino Linotype"/>
          </w:rPr>
        </w:pPr>
        <w:r w:rsidRPr="00EB750F">
          <w:rPr>
            <w:rFonts w:ascii="Palatino Linotype" w:hAnsi="Palatino Linotype"/>
          </w:rPr>
          <w:fldChar w:fldCharType="begin"/>
        </w:r>
        <w:r w:rsidRPr="00EB750F">
          <w:rPr>
            <w:rFonts w:ascii="Palatino Linotype" w:hAnsi="Palatino Linotype"/>
          </w:rPr>
          <w:instrText xml:space="preserve"> PAGE   \* MERGEFORMAT </w:instrText>
        </w:r>
        <w:r w:rsidRPr="00EB750F">
          <w:rPr>
            <w:rFonts w:ascii="Palatino Linotype" w:hAnsi="Palatino Linotype"/>
          </w:rPr>
          <w:fldChar w:fldCharType="separate"/>
        </w:r>
        <w:r w:rsidRPr="00EB750F">
          <w:rPr>
            <w:rFonts w:ascii="Palatino Linotype" w:hAnsi="Palatino Linotype"/>
            <w:noProof/>
          </w:rPr>
          <w:t>2</w:t>
        </w:r>
        <w:r w:rsidRPr="00EB750F">
          <w:rPr>
            <w:rFonts w:ascii="Palatino Linotype" w:hAnsi="Palatino Linotype"/>
            <w:noProof/>
          </w:rPr>
          <w:fldChar w:fldCharType="end"/>
        </w:r>
      </w:p>
    </w:sdtContent>
  </w:sdt>
  <w:p w14:paraId="06046409" w14:textId="77777777" w:rsidR="007C7F61" w:rsidRDefault="007C7F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4CBB" w14:textId="77777777" w:rsidR="002E4C4B" w:rsidRDefault="002E4C4B" w:rsidP="002E4C4B">
      <w:pPr>
        <w:spacing w:after="0" w:line="240" w:lineRule="auto"/>
      </w:pPr>
      <w:r>
        <w:separator/>
      </w:r>
    </w:p>
  </w:footnote>
  <w:footnote w:type="continuationSeparator" w:id="0">
    <w:p w14:paraId="1BE61B51" w14:textId="77777777" w:rsidR="002E4C4B" w:rsidRDefault="002E4C4B" w:rsidP="002E4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7220F"/>
    <w:multiLevelType w:val="hybridMultilevel"/>
    <w:tmpl w:val="89A8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C3A2D"/>
    <w:multiLevelType w:val="hybridMultilevel"/>
    <w:tmpl w:val="4314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96C18"/>
    <w:multiLevelType w:val="hybridMultilevel"/>
    <w:tmpl w:val="4004345C"/>
    <w:lvl w:ilvl="0" w:tplc="B3AA14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AA44A97"/>
    <w:multiLevelType w:val="hybridMultilevel"/>
    <w:tmpl w:val="7E6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94D09"/>
    <w:multiLevelType w:val="hybridMultilevel"/>
    <w:tmpl w:val="0AB4F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C2492B"/>
    <w:multiLevelType w:val="hybridMultilevel"/>
    <w:tmpl w:val="80A0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E6B"/>
    <w:rsid w:val="000066DD"/>
    <w:rsid w:val="00026135"/>
    <w:rsid w:val="000674F9"/>
    <w:rsid w:val="00075F09"/>
    <w:rsid w:val="000D2AD1"/>
    <w:rsid w:val="001236A5"/>
    <w:rsid w:val="001502E2"/>
    <w:rsid w:val="001B7ABD"/>
    <w:rsid w:val="001D5543"/>
    <w:rsid w:val="001E53A7"/>
    <w:rsid w:val="0023335F"/>
    <w:rsid w:val="002613E9"/>
    <w:rsid w:val="002727F0"/>
    <w:rsid w:val="002910C5"/>
    <w:rsid w:val="00294682"/>
    <w:rsid w:val="00297E6B"/>
    <w:rsid w:val="002E1D6A"/>
    <w:rsid w:val="002E4C4B"/>
    <w:rsid w:val="003114F5"/>
    <w:rsid w:val="003169F5"/>
    <w:rsid w:val="0036067C"/>
    <w:rsid w:val="00374C6E"/>
    <w:rsid w:val="00390677"/>
    <w:rsid w:val="003E35C8"/>
    <w:rsid w:val="003E47F1"/>
    <w:rsid w:val="003F24AB"/>
    <w:rsid w:val="00406EAE"/>
    <w:rsid w:val="00424A28"/>
    <w:rsid w:val="00431D50"/>
    <w:rsid w:val="00483C89"/>
    <w:rsid w:val="004A42BD"/>
    <w:rsid w:val="004B37AA"/>
    <w:rsid w:val="00514822"/>
    <w:rsid w:val="00520A53"/>
    <w:rsid w:val="00530E98"/>
    <w:rsid w:val="005456BF"/>
    <w:rsid w:val="00553D4C"/>
    <w:rsid w:val="00555AA6"/>
    <w:rsid w:val="00557DE0"/>
    <w:rsid w:val="00580E68"/>
    <w:rsid w:val="00587C72"/>
    <w:rsid w:val="005B2C80"/>
    <w:rsid w:val="005F6E3A"/>
    <w:rsid w:val="00602E4A"/>
    <w:rsid w:val="00655BEA"/>
    <w:rsid w:val="006D01D5"/>
    <w:rsid w:val="006D4C27"/>
    <w:rsid w:val="00727BD4"/>
    <w:rsid w:val="007A0866"/>
    <w:rsid w:val="007C0307"/>
    <w:rsid w:val="007C6933"/>
    <w:rsid w:val="007C7F61"/>
    <w:rsid w:val="007D3663"/>
    <w:rsid w:val="007E1D5C"/>
    <w:rsid w:val="00834B14"/>
    <w:rsid w:val="008833AD"/>
    <w:rsid w:val="00885F39"/>
    <w:rsid w:val="0089699A"/>
    <w:rsid w:val="008F1231"/>
    <w:rsid w:val="00901D2B"/>
    <w:rsid w:val="00922ACB"/>
    <w:rsid w:val="00932CF0"/>
    <w:rsid w:val="0095752D"/>
    <w:rsid w:val="00987CE3"/>
    <w:rsid w:val="00992190"/>
    <w:rsid w:val="009D207D"/>
    <w:rsid w:val="009F3C1E"/>
    <w:rsid w:val="00A15A62"/>
    <w:rsid w:val="00A4167A"/>
    <w:rsid w:val="00A55B2D"/>
    <w:rsid w:val="00AB0CEA"/>
    <w:rsid w:val="00AE2248"/>
    <w:rsid w:val="00AF6474"/>
    <w:rsid w:val="00B20276"/>
    <w:rsid w:val="00B41B45"/>
    <w:rsid w:val="00B44C24"/>
    <w:rsid w:val="00B50076"/>
    <w:rsid w:val="00B761CE"/>
    <w:rsid w:val="00B8157D"/>
    <w:rsid w:val="00B86885"/>
    <w:rsid w:val="00BB0975"/>
    <w:rsid w:val="00C1476A"/>
    <w:rsid w:val="00C26550"/>
    <w:rsid w:val="00C41D50"/>
    <w:rsid w:val="00C42708"/>
    <w:rsid w:val="00C47FA3"/>
    <w:rsid w:val="00C54716"/>
    <w:rsid w:val="00CD773C"/>
    <w:rsid w:val="00CF7D6D"/>
    <w:rsid w:val="00D02C7E"/>
    <w:rsid w:val="00D050A0"/>
    <w:rsid w:val="00D47E26"/>
    <w:rsid w:val="00DB11B0"/>
    <w:rsid w:val="00DB723A"/>
    <w:rsid w:val="00DB7612"/>
    <w:rsid w:val="00DC04E0"/>
    <w:rsid w:val="00DD130C"/>
    <w:rsid w:val="00DD14A0"/>
    <w:rsid w:val="00DF25D6"/>
    <w:rsid w:val="00E17CEA"/>
    <w:rsid w:val="00E22FCC"/>
    <w:rsid w:val="00E26F88"/>
    <w:rsid w:val="00E27BA9"/>
    <w:rsid w:val="00E37A18"/>
    <w:rsid w:val="00E37FF2"/>
    <w:rsid w:val="00E42CF3"/>
    <w:rsid w:val="00E50B9E"/>
    <w:rsid w:val="00E64CEF"/>
    <w:rsid w:val="00E7270E"/>
    <w:rsid w:val="00EB750F"/>
    <w:rsid w:val="00ED397C"/>
    <w:rsid w:val="00EF7E7F"/>
    <w:rsid w:val="00F003E0"/>
    <w:rsid w:val="00F14BE5"/>
    <w:rsid w:val="00F53164"/>
    <w:rsid w:val="00F91EC9"/>
    <w:rsid w:val="00FC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5A453"/>
  <w15:chartTrackingRefBased/>
  <w15:docId w15:val="{C2B8B1CB-D414-4F6D-A6B2-36F1404E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E6B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spacing w:after="0" w:line="240" w:lineRule="auto"/>
      <w:outlineLvl w:val="0"/>
    </w:pPr>
    <w:rPr>
      <w:rFonts w:ascii="Palatino Linotype" w:eastAsiaTheme="majorEastAsia" w:hAnsi="Palatino Linotype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spacing w:after="0" w:line="240" w:lineRule="auto"/>
      <w:outlineLvl w:val="1"/>
    </w:pPr>
    <w:rPr>
      <w:rFonts w:ascii="Palatino Linotype" w:eastAsiaTheme="majorEastAsia" w:hAnsi="Palatino Linotype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spacing w:after="0" w:line="240" w:lineRule="auto"/>
      <w:outlineLvl w:val="2"/>
    </w:pPr>
    <w:rPr>
      <w:rFonts w:ascii="Palatino Linotype" w:eastAsiaTheme="majorEastAsia" w:hAnsi="Palatino Linotype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spacing w:after="0" w:line="240" w:lineRule="auto"/>
      <w:outlineLvl w:val="3"/>
    </w:pPr>
    <w:rPr>
      <w:rFonts w:ascii="Palatino Linotype" w:eastAsiaTheme="majorEastAsia" w:hAnsi="Palatino Linotype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spacing w:after="0" w:line="240" w:lineRule="auto"/>
      <w:outlineLvl w:val="4"/>
    </w:pPr>
    <w:rPr>
      <w:rFonts w:ascii="Palatino Linotype" w:eastAsiaTheme="majorEastAsia" w:hAnsi="Palatino Linotype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spacing w:after="0" w:line="240" w:lineRule="auto"/>
      <w:outlineLvl w:val="5"/>
    </w:pPr>
    <w:rPr>
      <w:rFonts w:ascii="Palatino Linotype" w:eastAsiaTheme="majorEastAsia" w:hAnsi="Palatino Linotype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spacing w:after="0" w:line="240" w:lineRule="auto"/>
      <w:outlineLvl w:val="6"/>
    </w:pPr>
    <w:rPr>
      <w:rFonts w:ascii="Palatino Linotype" w:eastAsiaTheme="majorEastAsia" w:hAnsi="Palatino Linotype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spacing w:after="0" w:line="240" w:lineRule="auto"/>
      <w:outlineLvl w:val="7"/>
    </w:pPr>
    <w:rPr>
      <w:rFonts w:ascii="Palatino Linotype" w:eastAsiaTheme="majorEastAsia" w:hAnsi="Palatino Linotype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spacing w:after="0" w:line="240" w:lineRule="auto"/>
      <w:outlineLvl w:val="8"/>
    </w:pPr>
    <w:rPr>
      <w:rFonts w:ascii="Palatino Linotype" w:eastAsiaTheme="majorEastAsia" w:hAnsi="Palatino Linotype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  <w:spacing w:after="0" w:line="240" w:lineRule="auto"/>
    </w:pPr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  <w:spacing w:after="0" w:line="240" w:lineRule="auto"/>
    </w:pPr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pPr>
      <w:spacing w:after="0" w:line="240" w:lineRule="auto"/>
    </w:pPr>
    <w:rPr>
      <w:rFonts w:ascii="Palatino Linotype" w:hAnsi="Palatino Linotype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spacing w:after="0" w:line="240" w:lineRule="auto"/>
      <w:ind w:left="936" w:right="936"/>
    </w:pPr>
    <w:rPr>
      <w:rFonts w:ascii="Palatino Linotype" w:hAnsi="Palatino Linotype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qFormat/>
    <w:rsid w:val="00AF6474"/>
    <w:pPr>
      <w:spacing w:after="0" w:line="240" w:lineRule="auto"/>
      <w:ind w:left="720"/>
    </w:pPr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5B2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A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7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B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E4C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4C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4C4B"/>
    <w:rPr>
      <w:vertAlign w:val="superscript"/>
    </w:rPr>
  </w:style>
  <w:style w:type="paragraph" w:customStyle="1" w:styleId="42RELfigurenote">
    <w:name w:val="42 REL figure note"/>
    <w:basedOn w:val="Normal"/>
    <w:qFormat/>
    <w:rsid w:val="002E1D6A"/>
    <w:pPr>
      <w:keepNext/>
      <w:keepLines/>
      <w:spacing w:before="60" w:after="60" w:line="276" w:lineRule="auto"/>
      <w:jc w:val="both"/>
    </w:pPr>
    <w:rPr>
      <w:rFonts w:ascii="Arial" w:eastAsia="Arial" w:hAnsi="Arial" w:cs="Arial"/>
      <w:color w:val="636466"/>
      <w:sz w:val="16"/>
      <w:szCs w:val="16"/>
    </w:rPr>
  </w:style>
  <w:style w:type="paragraph" w:customStyle="1" w:styleId="43RELfiguresource">
    <w:name w:val="43 REL figure source"/>
    <w:basedOn w:val="Normal"/>
    <w:qFormat/>
    <w:rsid w:val="002E1D6A"/>
    <w:pPr>
      <w:pBdr>
        <w:bottom w:val="single" w:sz="18" w:space="1" w:color="000000" w:themeColor="text1"/>
      </w:pBdr>
      <w:spacing w:before="60" w:after="240" w:line="276" w:lineRule="auto"/>
      <w:jc w:val="both"/>
    </w:pPr>
    <w:rPr>
      <w:rFonts w:ascii="Arial" w:eastAsia="Arial" w:hAnsi="Arial" w:cs="Arial"/>
      <w:color w:val="636466"/>
      <w:sz w:val="16"/>
      <w:szCs w:val="16"/>
    </w:rPr>
  </w:style>
  <w:style w:type="paragraph" w:customStyle="1" w:styleId="40RELfiguretitle">
    <w:name w:val="40 REL figure title"/>
    <w:basedOn w:val="Normal"/>
    <w:qFormat/>
    <w:rsid w:val="002E1D6A"/>
    <w:pPr>
      <w:keepNext/>
      <w:keepLines/>
      <w:pBdr>
        <w:top w:val="single" w:sz="18" w:space="1" w:color="000000" w:themeColor="text1"/>
      </w:pBdr>
      <w:suppressAutoHyphens/>
      <w:spacing w:before="120" w:after="0" w:line="276" w:lineRule="auto"/>
    </w:pPr>
    <w:rPr>
      <w:rFonts w:ascii="Arial" w:eastAsia="Arial" w:hAnsi="Arial" w:cs="Arial"/>
      <w:b/>
      <w:color w:val="000000" w:themeColor="text1"/>
      <w:sz w:val="18"/>
      <w:szCs w:val="24"/>
    </w:rPr>
  </w:style>
  <w:style w:type="paragraph" w:customStyle="1" w:styleId="41RELfigureunit">
    <w:name w:val="41 REL figure unit"/>
    <w:qFormat/>
    <w:rsid w:val="002E1D6A"/>
    <w:pPr>
      <w:keepNext/>
      <w:spacing w:after="0"/>
    </w:pPr>
    <w:rPr>
      <w:rFonts w:ascii="Franklin Gothic Book" w:eastAsia="Arial" w:hAnsi="Franklin Gothic Book" w:cs="Arial"/>
      <w:i/>
      <w:color w:val="000000" w:themeColor="text1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C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61"/>
  </w:style>
  <w:style w:type="paragraph" w:styleId="Footer">
    <w:name w:val="footer"/>
    <w:basedOn w:val="Normal"/>
    <w:link w:val="FooterChar"/>
    <w:uiPriority w:val="99"/>
    <w:unhideWhenUsed/>
    <w:rsid w:val="007C7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Predicted completion rate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American Indian/Alaska Native (recent public high school graduates)</c:v>
                </c:pt>
                <c:pt idx="1">
                  <c:v>Latinx/Hispanic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0.318</c:v>
                </c:pt>
                <c:pt idx="1">
                  <c:v>0.45800000000000002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22-4D3B-993F-07A32F643C7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Actual completion rate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Sheet1!$B$1:$C$1</c:f>
              <c:strCache>
                <c:ptCount val="2"/>
                <c:pt idx="0">
                  <c:v>American Indian/Alaska Native (recent public high school graduates)</c:v>
                </c:pt>
                <c:pt idx="1">
                  <c:v>Latinx/Hispanic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0.379</c:v>
                </c:pt>
                <c:pt idx="1">
                  <c:v>0.64300000000000002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22-4D3B-993F-07A32F643C7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640760"/>
        <c:axId val="566574464"/>
      </c:barChart>
      <c:catAx>
        <c:axId val="565640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6574464"/>
        <c:crosses val="autoZero"/>
        <c:auto val="1"/>
        <c:lblAlgn val="ctr"/>
        <c:lblOffset val="100"/>
        <c:noMultiLvlLbl val="0"/>
      </c:catAx>
      <c:valAx>
        <c:axId val="566574464"/>
        <c:scaling>
          <c:orientation val="minMax"/>
          <c:max val="0.8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56407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550505748185"/>
          <c:y val="0.14500334517008906"/>
          <c:w val="0.72544267671713281"/>
          <c:h val="0.719517266224074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2010/11 cohort (n=306)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of all students with a BA within 6 years</c:v>
                </c:pt>
                <c:pt idx="1">
                  <c:v>% of transfers with a BA within 6 years</c:v>
                </c:pt>
                <c:pt idx="2">
                  <c:v>% transfer within 6 years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3.3000000000000002E-2</c:v>
                </c:pt>
                <c:pt idx="1">
                  <c:v>0.47599999999999998</c:v>
                </c:pt>
                <c:pt idx="2">
                  <c:v>6.9000000000000006E-2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B1-45EA-9E38-E13FC110E56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2007/08 - 2010/11 cohorts (n=1,443)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of all students with a BA within 6 years</c:v>
                </c:pt>
                <c:pt idx="1">
                  <c:v>% of transfers with a BA within 6 years</c:v>
                </c:pt>
                <c:pt idx="2">
                  <c:v>% transfer within 6 years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5.8000000000000003E-2</c:v>
                </c:pt>
                <c:pt idx="1">
                  <c:v>0.48599999999999999</c:v>
                </c:pt>
                <c:pt idx="2">
                  <c:v>0.12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AB1-45EA-9E38-E13FC110E5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640760"/>
        <c:axId val="566574464"/>
      </c:barChart>
      <c:catAx>
        <c:axId val="565640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6574464"/>
        <c:crosses val="autoZero"/>
        <c:auto val="1"/>
        <c:lblAlgn val="ctr"/>
        <c:lblOffset val="100"/>
        <c:noMultiLvlLbl val="0"/>
      </c:catAx>
      <c:valAx>
        <c:axId val="566574464"/>
        <c:scaling>
          <c:orientation val="minMax"/>
          <c:max val="0.60000000000000009"/>
        </c:scaling>
        <c:delete val="0"/>
        <c:axPos val="b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56407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1576738003903364"/>
          <c:y val="6.655147730358156E-2"/>
          <c:w val="0.38265521795544521"/>
          <c:h val="0.20994737466861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24550505748185"/>
          <c:y val="0.14500334517008906"/>
          <c:w val="0.72544267671713281"/>
          <c:h val="0.7195172662240749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2011/12 cohort (n=294)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of all students with a BA within 6 years</c:v>
                </c:pt>
                <c:pt idx="1">
                  <c:v>% of transfers with a BA within 6 years</c:v>
                </c:pt>
                <c:pt idx="2">
                  <c:v>% transfer within 6 years</c:v>
                </c:pt>
              </c:strCache>
            </c:strRef>
          </c:cat>
          <c:val>
            <c:numRef>
              <c:f>Sheet1!$B$2:$B$4</c:f>
              <c:numCache>
                <c:formatCode>0.0%</c:formatCode>
                <c:ptCount val="3"/>
                <c:pt idx="0">
                  <c:v>9.9000000000000005E-2</c:v>
                </c:pt>
                <c:pt idx="1">
                  <c:v>0.433</c:v>
                </c:pt>
                <c:pt idx="2">
                  <c:v>0.22800000000000001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36-4831-9DD5-A3454F5C7C1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2005/06 - 2011/12 cohorts (n=2,237)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% of all students with a BA within 6 years</c:v>
                </c:pt>
                <c:pt idx="1">
                  <c:v>% of transfers with a BA within 6 years</c:v>
                </c:pt>
                <c:pt idx="2">
                  <c:v>% transfer within 6 years</c:v>
                </c:pt>
              </c:strCache>
            </c:strRef>
          </c:cat>
          <c:val>
            <c:numRef>
              <c:f>Sheet1!$C$2:$C$4</c:f>
              <c:numCache>
                <c:formatCode>0.0%</c:formatCode>
                <c:ptCount val="3"/>
                <c:pt idx="0">
                  <c:v>0.112</c:v>
                </c:pt>
                <c:pt idx="1">
                  <c:v>0.39500000000000002</c:v>
                </c:pt>
                <c:pt idx="2">
                  <c:v>0.28399999999999997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936-4831-9DD5-A3454F5C7C1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65640760"/>
        <c:axId val="566574464"/>
      </c:barChart>
      <c:catAx>
        <c:axId val="5656407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6574464"/>
        <c:crosses val="autoZero"/>
        <c:auto val="1"/>
        <c:lblAlgn val="ctr"/>
        <c:lblOffset val="100"/>
        <c:noMultiLvlLbl val="0"/>
      </c:catAx>
      <c:valAx>
        <c:axId val="566574464"/>
        <c:scaling>
          <c:orientation val="minMax"/>
          <c:max val="0.60000000000000009"/>
        </c:scaling>
        <c:delete val="0"/>
        <c:axPos val="b"/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65640760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03507217847768"/>
          <c:y val="1.0512090244038598E-3"/>
          <c:w val="0.36807185039370077"/>
          <c:h val="0.209947374668618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F8BE-16BE-44E2-89EA-A9CC40CD6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Hodara</dc:creator>
  <cp:keywords/>
  <dc:description/>
  <cp:lastModifiedBy>Michelle Hodara</cp:lastModifiedBy>
  <cp:revision>8</cp:revision>
  <dcterms:created xsi:type="dcterms:W3CDTF">2019-04-12T23:58:00Z</dcterms:created>
  <dcterms:modified xsi:type="dcterms:W3CDTF">2019-04-23T21:58:00Z</dcterms:modified>
</cp:coreProperties>
</file>